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992600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92600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992600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proofErr w:type="spellStart"/>
      <w:r w:rsidR="00992600" w:rsidRPr="00992600">
        <w:rPr>
          <w:rFonts w:ascii="Times New Roman" w:hAnsi="Times New Roman" w:cs="Times New Roman"/>
          <w:sz w:val="23"/>
          <w:szCs w:val="23"/>
          <w:lang w:val="en-US"/>
        </w:rPr>
        <w:t>cfexpress</w:t>
      </w:r>
      <w:proofErr w:type="spellEnd"/>
      <w:r w:rsidR="00992600" w:rsidRPr="0099260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92600" w:rsidRPr="0099260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92600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992600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92600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92600">
        <w:rPr>
          <w:rFonts w:ascii="Times New Roman" w:hAnsi="Times New Roman" w:cs="Times New Roman"/>
          <w:sz w:val="23"/>
          <w:szCs w:val="23"/>
        </w:rPr>
        <w:t>1.1.</w:t>
      </w:r>
      <w:r w:rsidR="0011057B" w:rsidRPr="00992600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992600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992600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ИП </w:t>
      </w:r>
      <w:r w:rsidR="00992600" w:rsidRPr="00992600">
        <w:rPr>
          <w:rFonts w:ascii="Times New Roman" w:hAnsi="Times New Roman" w:cs="Times New Roman"/>
          <w:sz w:val="23"/>
          <w:szCs w:val="23"/>
        </w:rPr>
        <w:t xml:space="preserve">Демьянов Павел Дмитриевич </w:t>
      </w:r>
      <w:r w:rsidR="0011057B" w:rsidRPr="00992600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 w:rsidRPr="00992600">
        <w:rPr>
          <w:rFonts w:ascii="Times New Roman" w:hAnsi="Times New Roman" w:cs="Times New Roman"/>
          <w:sz w:val="23"/>
          <w:szCs w:val="23"/>
        </w:rPr>
        <w:t>лица</w:t>
      </w:r>
      <w:r w:rsidR="0011057B" w:rsidRPr="00992600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992600" w:rsidRPr="00992600">
        <w:rPr>
          <w:rFonts w:ascii="Times New Roman" w:hAnsi="Times New Roman" w:cs="Times New Roman"/>
          <w:sz w:val="23"/>
          <w:szCs w:val="23"/>
        </w:rPr>
        <w:t>ИП Демьянов Павел</w:t>
      </w:r>
      <w:r w:rsidR="00992600">
        <w:rPr>
          <w:rFonts w:ascii="Times New Roman" w:hAnsi="Times New Roman" w:cs="Times New Roman"/>
          <w:sz w:val="23"/>
          <w:szCs w:val="23"/>
        </w:rPr>
        <w:t xml:space="preserve"> Дмитриевич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proofErr w:type="spellStart"/>
      <w:r w:rsidR="00992600">
        <w:rPr>
          <w:rFonts w:ascii="Times New Roman" w:hAnsi="Times New Roman" w:cs="Times New Roman"/>
          <w:sz w:val="23"/>
          <w:szCs w:val="23"/>
          <w:lang w:val="en-US"/>
        </w:rPr>
        <w:t>cfexrpess</w:t>
      </w:r>
      <w:proofErr w:type="spellEnd"/>
      <w:r w:rsidR="00992600" w:rsidRPr="0099260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9260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4A73AD" w:rsidRPr="00992600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0A70E4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:rsidR="004A73AD" w:rsidRPr="00992600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92600" w:rsidRPr="00992600">
        <w:rPr>
          <w:rFonts w:ascii="Times New Roman" w:hAnsi="Times New Roman" w:cs="Times New Roman"/>
          <w:sz w:val="23"/>
          <w:szCs w:val="23"/>
          <w:lang w:val="en-US"/>
        </w:rPr>
        <w:t>cfexpress</w:t>
      </w:r>
      <w:proofErr w:type="spellEnd"/>
      <w:r w:rsidR="00992600" w:rsidRPr="0099260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92600" w:rsidRPr="0099260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992600" w:rsidRPr="00992600">
        <w:t xml:space="preserve"> 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https://cfexpress.ru/page/payment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992600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</w:t>
      </w:r>
      <w:proofErr w:type="gramEnd"/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Политика конфиденциальности и оферта</w:t>
      </w:r>
      <w:r w:rsidR="00F819E6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пункт «Как сделать заказ», прямая ссылка на пункт: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https://cfexpress.ru/page/oferta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992600" w:rsidRPr="00992600" w:rsidRDefault="00992600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92600">
        <w:rPr>
          <w:rFonts w:ascii="Times New Roman" w:hAnsi="Times New Roman" w:cs="Times New Roman"/>
          <w:sz w:val="23"/>
          <w:szCs w:val="23"/>
        </w:rPr>
        <w:t>ИП Демьянов Павел Дмитриевич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4A73AD" w:rsidRPr="00992600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 xml:space="preserve"> 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773472184664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 xml:space="preserve"> </w:t>
      </w:r>
      <w:r w:rsidR="00992600" w:rsidRPr="00992600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319774600667785</w:t>
      </w:r>
    </w:p>
    <w:sectPr w:rsidR="004A73AD" w:rsidRPr="00992600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A70E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92600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4B1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2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m12979</cp:lastModifiedBy>
  <cp:revision>29</cp:revision>
  <dcterms:created xsi:type="dcterms:W3CDTF">2017-06-27T12:58:00Z</dcterms:created>
  <dcterms:modified xsi:type="dcterms:W3CDTF">2020-02-29T11:11:00Z</dcterms:modified>
</cp:coreProperties>
</file>